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5BC9" w14:textId="77777777" w:rsidR="00D53BCB" w:rsidRPr="00BC1BD1" w:rsidRDefault="00D53BCB" w:rsidP="00D53BC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Rekrutacja do Szkoły Doktorskiej </w:t>
      </w:r>
    </w:p>
    <w:p w14:paraId="11CD80A1" w14:textId="2C2FD163" w:rsidR="00D53BCB" w:rsidRPr="00BC1BD1" w:rsidRDefault="00D53BCB" w:rsidP="009D22B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Akademii Wychowania Fizycznego w Poznaniu </w:t>
      </w:r>
      <w:r w:rsidR="009D22BD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na rok akademicki 202</w:t>
      </w:r>
      <w:r w:rsidR="003A77C7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/</w:t>
      </w:r>
      <w:r w:rsidR="003A77C7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20</w:t>
      </w:r>
      <w:bookmarkStart w:id="0" w:name="_GoBack"/>
      <w:bookmarkEnd w:id="0"/>
      <w:r w:rsidR="003A77C7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27</w:t>
      </w:r>
    </w:p>
    <w:p w14:paraId="78CEC14D" w14:textId="77777777" w:rsidR="00D53BCB" w:rsidRPr="00BC1BD1" w:rsidRDefault="00D53BCB" w:rsidP="00D53BC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pl-PL"/>
        </w:rPr>
        <w:t>Krótki przewodnik</w:t>
      </w:r>
    </w:p>
    <w:p w14:paraId="672A665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</w:pPr>
    </w:p>
    <w:p w14:paraId="727D6AD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Dla kogo jest Szkoła Doktorska w dyscyplinie Nauk o Kulturze Fizycznej?</w:t>
      </w:r>
    </w:p>
    <w:p w14:paraId="6E7BEAA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5D621D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Dla pasjonatów chcących poświęcić kilka lat swojego życia na badania uwarunkowań i skutków aktywności fizycznej człowieka w kontekście sprawności fizycznej, rozwoju fizycznego, estetyki ciała, jakości życia i utrzymania zdrowia. Dla tych, którzy chcą współtworzyć wiedzę naukową podstawową i aplikacyjną związaną z wychowaniem fizycznym, sportem, rekreacją fizyczną czy turystyką, przydatną w praktyce takich zawodów jak nauczyciel, trener i instruktor sportu lub fitness, animator, specjalista turystyki, specjalista adaptowanej aktywności fizycznej, menedżer sportu, analityk sportowy i innych pokrewnych. </w:t>
      </w:r>
    </w:p>
    <w:p w14:paraId="63E4A9C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6C3FA8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Kto może być przyjęty do Szkoły Doktorskiej?</w:t>
      </w:r>
    </w:p>
    <w:p w14:paraId="4F6584BE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69650BE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Podstawowymi warunkami są: posiadanie tytułu zawodowego magistra lub równorzędnego, zgoda przyszłego promotora na objęcie opieką naukową, zadowalająca znajomość języka angielskiego, wcześniejsze doświadczenia i osiągnięcia naukowe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(publikacje)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oraz przygotowanie dobrego projektu naukowego.</w:t>
      </w:r>
    </w:p>
    <w:p w14:paraId="09AF38F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6420129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Jak znaleźć promotora?</w:t>
      </w:r>
    </w:p>
    <w:p w14:paraId="15AA318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AA03E6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Listę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rekomendowanych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promotorów zatrudnionych w AWF Poznań znajdziesz w oddzielnym pliku na stronie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internetowej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Szkoły. Są też na niej podane miejsca zatrudnienia (wydział, zakład) oraz adresy e-mailowe naszych naukowców. Skontaktuj się możliwie szybko z wybraną osobą i skonsultuj możliwość realizacji własnego projektu naukowego. Jeśli uzyskasz akceptację, poproś o oficjalną pisemną zgodę na specjalnym formularzu.</w:t>
      </w:r>
    </w:p>
    <w:p w14:paraId="01512BE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1C8B6B3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Jakie dokumenty należy złożyć?</w:t>
      </w:r>
    </w:p>
    <w:p w14:paraId="0DA7063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760B76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Przede wszystkim jest to sam wniosek i towarzyszące mu załączniki: odpis dyplomu magisterskiego, kwestionariusz osobowy, życiorys, zgoda potencjalnego promotora, opis projektu badawczego oraz publikacje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naukowe, jeśli je masz.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 </w:t>
      </w:r>
    </w:p>
    <w:p w14:paraId="4662417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1C858E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gdzie można składać dokumenty?</w:t>
      </w:r>
    </w:p>
    <w:p w14:paraId="4B8484D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67A8E995" w14:textId="3FFDB4A4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Składanie dokumentów jest możliwe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 od </w:t>
      </w:r>
      <w:r w:rsidR="00E404C1"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lipca do </w:t>
      </w:r>
      <w:r w:rsidR="00595AB3"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10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września 202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r.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 w godzinach od 9:00 do 14:00. Wniosek o przyjęcie do Szkoły Doktorskiej wraz z wymaganymi załącznikami należy składać w sekretariacie Szkoły Doktorskiej, ul. Królowej Jadwigi 27/39, </w:t>
      </w:r>
      <w:r w:rsidR="002836CD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Budynek Rektoratu, parter, pok. 111.</w:t>
      </w:r>
    </w:p>
    <w:p w14:paraId="4F8F56C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CBAAE8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Czy jest pobierana opłata rekrutacyjna?</w:t>
      </w:r>
    </w:p>
    <w:p w14:paraId="649CC1FA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40F8F72" w14:textId="488CC436" w:rsidR="00D53BCB" w:rsidRPr="00BC1BD1" w:rsidRDefault="003A77C7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000000" w:themeColor="text1"/>
          <w:sz w:val="18"/>
          <w:szCs w:val="18"/>
          <w:lang w:eastAsia="pl-PL"/>
        </w:rPr>
      </w:pPr>
      <w:r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Szczegóły dotyczące opłaty pojawią się wkrótce.</w:t>
      </w:r>
    </w:p>
    <w:p w14:paraId="5E3886A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 </w:t>
      </w:r>
    </w:p>
    <w:p w14:paraId="3F1A69CC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gdzie odbywa się postępowanie rekrutacyjne?</w:t>
      </w:r>
    </w:p>
    <w:p w14:paraId="4ECEB114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6BA1F3D9" w14:textId="75D7117F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Rozmowy komisji rekrutacyjnej z kandydatami odbędą się 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od 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14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do 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18 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września 202</w:t>
      </w:r>
      <w:r w:rsidR="003A77C7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r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 Postępowanie rekrutacyjne prowadzone jest w siedzibie Uczelni. O dokładnej godzinie i miejscu kandydaci zostaną poinformowani w odrębnych indywidualnych wiadomościach.</w:t>
      </w:r>
    </w:p>
    <w:p w14:paraId="0A37501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28D4A3DB" w14:textId="4EEFB8EA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Czy procedura rekrutacyjna jest przyjazna dla osób niepełnosprawnych?</w:t>
      </w:r>
    </w:p>
    <w:p w14:paraId="4E765A64" w14:textId="77777777" w:rsidR="00BC1BD1" w:rsidRDefault="00BC1BD1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70208DB8" w14:textId="04B92969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Kandydaci z orzeczoną i udokumentowaną niepełnosprawnością podlegają tej samej procedurze rekrutacyjnej co pozostali kandydaci. Osoby, które życzą sobie udogodnień, proszone są o dołączenie stosownej informacji do składanej dokumentacji. Dostosujemy warunki do ich potrzeb.</w:t>
      </w:r>
    </w:p>
    <w:p w14:paraId="2818EFAA" w14:textId="7DB5DD1C" w:rsidR="000C0E7D" w:rsidRPr="00BC1BD1" w:rsidRDefault="000C0E7D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</w:pPr>
    </w:p>
    <w:p w14:paraId="322B63B7" w14:textId="5CFB19C8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Na czym polega postępowanie rekrutacyjne?</w:t>
      </w:r>
    </w:p>
    <w:p w14:paraId="5EDB29A5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51F9CF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Jeśli złożona dokumentacja spełnia wymogi formalne, kandydat jest zapraszany na rozmowę kwalifikacyjną przed komisją rekrutacyjną. </w:t>
      </w:r>
    </w:p>
    <w:p w14:paraId="4474F8A0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93B7C6A" w14:textId="77777777" w:rsidR="00D53BCB" w:rsidRPr="00BC1BD1" w:rsidRDefault="00D53BCB" w:rsidP="003C316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lastRenderedPageBreak/>
        <w:t xml:space="preserve">1) 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W przypadku obywateli polskich n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ajpierw komisja wysłuchuje prezentacji ustnej kandydata wygłaszanej w języku angielskim, dotyczącej proponowanego projektu badawczego. Czas wypowiedzi to ok. 5 min i nie może być ona wspierana prezentacją multimedialną, czytaniem tekstu lub innymi zewnętrznymi źródłami informacji. Członkowie komisji zadają potem pytania w języku angielskim, na które kandydat odpowiada. "Niezadowalający", w ocenie komisji rekrutacyjnej, poziom języka angielskiego oznacza niedopuszczenie kandydata do dalszych etapów postępowania rekrutacyjnego.</w:t>
      </w:r>
      <w:r w:rsidR="00E404C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Kandydaci niebędący obywatelami polskimi przechodzą od razu do punktu 2), przy czym zasady oceny znajomości języka angielskiego są takie same.</w:t>
      </w:r>
    </w:p>
    <w:p w14:paraId="5E6F60B5" w14:textId="77777777" w:rsidR="00D53BCB" w:rsidRPr="00BC1BD1" w:rsidRDefault="00D53BCB" w:rsidP="003C316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DAB6C7B" w14:textId="2D657A54" w:rsidR="00E404C1" w:rsidRPr="00BC1BD1" w:rsidRDefault="00D53BCB" w:rsidP="00BC1BD1">
      <w:pPr>
        <w:shd w:val="clear" w:color="auto" w:fill="FFFFFF"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2) W drugiej części kandydat prezentuje </w:t>
      </w:r>
      <w:r w:rsidR="00B75DE6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problem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naukowy</w:t>
      </w:r>
      <w:r w:rsidR="003A77C7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(w formie prezentacji multimedialnej)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 który zamierza rozwiązać (czas wystąpienia ok. 10 min.), a ocenie podlegają:</w:t>
      </w:r>
    </w:p>
    <w:p w14:paraId="11D9E3A9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a) zgodność problematyki z dyscypliną nauk o kulturze fizycznej (definicja załączona do uchwały rekrutacyjnej),</w:t>
      </w:r>
    </w:p>
    <w:p w14:paraId="10D81E97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b) oryginalność planowanego projektu naukowego,</w:t>
      </w:r>
    </w:p>
    <w:p w14:paraId="256800B0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c) wartość poznawcza i praktyczna,</w:t>
      </w:r>
    </w:p>
    <w:p w14:paraId="59FDB151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d) stan zaawansowania/dojrzałość koncepcji badawczej,</w:t>
      </w:r>
    </w:p>
    <w:p w14:paraId="32F2AAAA" w14:textId="77777777" w:rsidR="00E404C1" w:rsidRPr="00BC1BD1" w:rsidRDefault="00E404C1" w:rsidP="43D5E815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e) realność realizacji  i zakończenia  projektu  w  okresie  trwania  kształcenia  w  szkole doktorskiej</w:t>
      </w:r>
      <w:r w:rsidR="00914083" w:rsidRPr="00BC1BD1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sz w:val="18"/>
          <w:szCs w:val="18"/>
          <w:lang w:eastAsia="pl-PL"/>
        </w:rPr>
        <w:t>(w tym koszty badań).</w:t>
      </w:r>
    </w:p>
    <w:p w14:paraId="1DF8BA61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17DA0E7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Członkowie komisji rekrutacyjnej zadają pytania związane z przedstawionym projektem badawczym i zainteresowaniami naukowymi kandydata, dla uzyskania dodatkowych informacji. Kandydaci, których założenia planowanego problemu naukowego komisja rekrutacyjna uzna za pozostające poza dyscypliną nauk o kulturze fizycznej, nie będą dopuszczeni do dalszych etapów postępowania rekrutacyjnego.</w:t>
      </w:r>
    </w:p>
    <w:p w14:paraId="365DB198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71345FBF" w14:textId="3F5F216F" w:rsidR="00D53BCB" w:rsidRPr="00BC1BD1" w:rsidRDefault="00D53BCB" w:rsidP="003C3161">
      <w:pPr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3) W trzeciej części (bez udziału kandydata) komisja ocenia jej/jego </w:t>
      </w:r>
      <w:r w:rsidR="00B75DE6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przedstawiony projekt i</w:t>
      </w:r>
      <w:r w:rsidR="00595AB3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dorobek naukowy</w:t>
      </w:r>
      <w:r w:rsidR="00A80C00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i podsumowuje punktację.</w:t>
      </w:r>
    </w:p>
    <w:p w14:paraId="1D5BCD6B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AD9D737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Kto zostanie przyjęty do Szkoły Doktorskiej?</w:t>
      </w:r>
    </w:p>
    <w:p w14:paraId="3BC5EC03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41FA4CD7" w14:textId="33A984B0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Postępowanie rekrutacyjne ma charakter konkursu, a efekty rozmowy kwalifikacyjnej oraz udokumentowane osiągnięcia </w:t>
      </w:r>
      <w:r w:rsidR="00A80C00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publikacyjne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są punktowane (szczegóły znajdziesz w uchwale rekrutacyjnej). Do kształcenia w Szkole Doktorskiej zostaną </w:t>
      </w:r>
      <w:r w:rsidR="00595AB3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zarekomendowani 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kandydaci, którzy:</w:t>
      </w:r>
    </w:p>
    <w:p w14:paraId="3751300F" w14:textId="77777777" w:rsidR="00D53BCB" w:rsidRPr="00BC1BD1" w:rsidRDefault="00D53BCB" w:rsidP="00A80C00">
      <w:pPr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89BE5CE" w14:textId="2E29A793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1)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spełnią wymogi formalne wskazane w uchwale rekrutacyjnej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</w:p>
    <w:p w14:paraId="5FCBBF30" w14:textId="0F0E7E75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2)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uzyskają zgodę potencjalnego promotora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</w:p>
    <w:p w14:paraId="26728CD9" w14:textId="53B6EE8D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3)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zaprezentują zadowalający poziom języka angielskiego,</w:t>
      </w:r>
    </w:p>
    <w:p w14:paraId="139236B4" w14:textId="77777777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4)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>zaprezentują projekt naukowy mieszczący się w dyscyplinie nauk o kulturze fizycznej,</w:t>
      </w:r>
    </w:p>
    <w:p w14:paraId="35F0889A" w14:textId="17D07D0D" w:rsidR="00D53BCB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5)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ab/>
        <w:t xml:space="preserve">uzyskają odpowiednio wysoką ocenę projektu naukowego oraz uzyskają najwyższą liczbę punktów </w:t>
      </w:r>
      <w:r w:rsidR="003C3161"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w całym postępowaniu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,</w:t>
      </w:r>
      <w:r w:rsidR="00D53BCB"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5C2E426A" w14:textId="7DF4A9F9" w:rsidR="00595AB3" w:rsidRPr="00BC1BD1" w:rsidRDefault="00595AB3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6)   uzyskają akceptację Rektora, który uwzględnia rekomendacj</w:t>
      </w:r>
      <w:r w:rsidR="003C3161"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ę</w:t>
      </w: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 komisji oraz możliwości finansowe, organizacyjne i infrastrukturalne Uczelni zapewniające prawidłowe kształcenie i realizację projektów naukowych przez doktorantów.</w:t>
      </w:r>
    </w:p>
    <w:p w14:paraId="49DAF066" w14:textId="77777777" w:rsidR="003C3161" w:rsidRPr="00BC1BD1" w:rsidRDefault="003C3161" w:rsidP="00595AB3">
      <w:pPr>
        <w:shd w:val="clear" w:color="auto" w:fill="FFFFFF"/>
        <w:spacing w:after="0" w:line="240" w:lineRule="auto"/>
        <w:ind w:left="709" w:hanging="425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6F4547E0" w14:textId="6D27C9DF" w:rsidR="003C3161" w:rsidRPr="00BC1BD1" w:rsidRDefault="003C3161" w:rsidP="003C316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W toku rekrutacji można zdobyć maksymalnie 100 pkt., w tym do 80 pkt. za projekt naukowy (wymagane minimum </w:t>
      </w:r>
      <w:r w:rsidR="000A468E"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 xml:space="preserve">to 53 pkt.) oraz do 20 pkt. za </w:t>
      </w:r>
      <w:r w:rsidRPr="00BC1BD1"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  <w:t>współautorstwo publikacji naukowych.</w:t>
      </w:r>
    </w:p>
    <w:p w14:paraId="2BEA7243" w14:textId="77777777" w:rsidR="00595AB3" w:rsidRPr="00BC1BD1" w:rsidRDefault="00595AB3" w:rsidP="00595AB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14:paraId="1D7F14F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i w jaki sposób ogłaszane są wyniki rekrutacji?</w:t>
      </w:r>
    </w:p>
    <w:p w14:paraId="6B515302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3FA703BA" w14:textId="61FE7950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Lista przyjętych kandydatów zostanie ogłoszona 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najpóźniej 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5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września 202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r.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 Odmowa przyjęcia do Szkoły Doktorskiej następuje w drodze decyzji administracyjnej. </w:t>
      </w:r>
    </w:p>
    <w:p w14:paraId="4253EF77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14425F8D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b/>
          <w:bCs/>
          <w:color w:val="000080"/>
          <w:sz w:val="18"/>
          <w:szCs w:val="18"/>
          <w:lang w:eastAsia="pl-PL"/>
        </w:rPr>
        <w:t>Kiedy rozpoczyna się kształcenie w Szkole Doktorskiej?</w:t>
      </w:r>
    </w:p>
    <w:p w14:paraId="2D6473E8" w14:textId="77777777" w:rsidR="00D53BCB" w:rsidRPr="00BC1BD1" w:rsidRDefault="00D53BCB" w:rsidP="00D53B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  <w:t> </w:t>
      </w:r>
    </w:p>
    <w:p w14:paraId="02EB378F" w14:textId="3AE185AB" w:rsidR="00B14FCF" w:rsidRPr="00BC1BD1" w:rsidRDefault="00D53BCB" w:rsidP="00BC1BD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5C5C5C"/>
          <w:sz w:val="18"/>
          <w:szCs w:val="18"/>
          <w:lang w:eastAsia="pl-PL"/>
        </w:rPr>
      </w:pP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 xml:space="preserve">Osoba przyjęta do Szkoły Doktorskiej rozpoczyna kształcenie i nabywa prawa doktoranta z chwilą złożenia ślubowania. Jest to dzień inauguracji roku akademickiego, domyślnie 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1 października 202</w:t>
      </w:r>
      <w:r w:rsidR="003A77C7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>6</w:t>
      </w:r>
      <w:r w:rsidRPr="00BC1BD1">
        <w:rPr>
          <w:rFonts w:ascii="Segoe UI" w:eastAsia="Times New Roman" w:hAnsi="Segoe UI" w:cs="Segoe UI"/>
          <w:b/>
          <w:color w:val="000000"/>
          <w:sz w:val="18"/>
          <w:szCs w:val="18"/>
          <w:lang w:eastAsia="pl-PL"/>
        </w:rPr>
        <w:t xml:space="preserve"> r</w:t>
      </w:r>
      <w:r w:rsidRPr="00BC1BD1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.</w:t>
      </w:r>
    </w:p>
    <w:sectPr w:rsidR="00B14FCF" w:rsidRPr="00BC1BD1" w:rsidSect="00D53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898F" w14:textId="77777777" w:rsidR="00FC65E7" w:rsidRDefault="00FC65E7" w:rsidP="00EC5D88">
      <w:pPr>
        <w:spacing w:after="0" w:line="240" w:lineRule="auto"/>
      </w:pPr>
      <w:r>
        <w:separator/>
      </w:r>
    </w:p>
  </w:endnote>
  <w:endnote w:type="continuationSeparator" w:id="0">
    <w:p w14:paraId="09253D42" w14:textId="77777777" w:rsidR="00FC65E7" w:rsidRDefault="00FC65E7" w:rsidP="00EC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EC5D88" w:rsidRDefault="00EC5D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EC5D88" w:rsidRDefault="00EC5D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EC5D88" w:rsidRDefault="00EC5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B44EA" w14:textId="77777777" w:rsidR="00FC65E7" w:rsidRDefault="00FC65E7" w:rsidP="00EC5D88">
      <w:pPr>
        <w:spacing w:after="0" w:line="240" w:lineRule="auto"/>
      </w:pPr>
      <w:r>
        <w:separator/>
      </w:r>
    </w:p>
  </w:footnote>
  <w:footnote w:type="continuationSeparator" w:id="0">
    <w:p w14:paraId="334E4970" w14:textId="77777777" w:rsidR="00FC65E7" w:rsidRDefault="00FC65E7" w:rsidP="00EC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089AD0C5" w:rsidR="00EC5D88" w:rsidRDefault="00EC5D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3647DB53" w:rsidR="00EC5D88" w:rsidRDefault="00EC5D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7AD6417A" w:rsidR="00EC5D88" w:rsidRDefault="00EC5D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6"/>
    <w:rsid w:val="00043D62"/>
    <w:rsid w:val="00086808"/>
    <w:rsid w:val="000A468E"/>
    <w:rsid w:val="000C0E7D"/>
    <w:rsid w:val="001164FB"/>
    <w:rsid w:val="00156BC0"/>
    <w:rsid w:val="00166030"/>
    <w:rsid w:val="001A4862"/>
    <w:rsid w:val="001D11C6"/>
    <w:rsid w:val="00226346"/>
    <w:rsid w:val="002836CD"/>
    <w:rsid w:val="002927B4"/>
    <w:rsid w:val="003A77C7"/>
    <w:rsid w:val="003C3161"/>
    <w:rsid w:val="005112EA"/>
    <w:rsid w:val="00595AB3"/>
    <w:rsid w:val="005A313D"/>
    <w:rsid w:val="006F13E5"/>
    <w:rsid w:val="006F4624"/>
    <w:rsid w:val="00781A78"/>
    <w:rsid w:val="0083447C"/>
    <w:rsid w:val="008F02A1"/>
    <w:rsid w:val="00914083"/>
    <w:rsid w:val="00942C8F"/>
    <w:rsid w:val="009D22BD"/>
    <w:rsid w:val="00A622E5"/>
    <w:rsid w:val="00A80C00"/>
    <w:rsid w:val="00B04D84"/>
    <w:rsid w:val="00B14FCF"/>
    <w:rsid w:val="00B2489D"/>
    <w:rsid w:val="00B63FD8"/>
    <w:rsid w:val="00B75DE6"/>
    <w:rsid w:val="00B85484"/>
    <w:rsid w:val="00BC1BD1"/>
    <w:rsid w:val="00BC3950"/>
    <w:rsid w:val="00C51F89"/>
    <w:rsid w:val="00C64E41"/>
    <w:rsid w:val="00CA5B50"/>
    <w:rsid w:val="00CF2B00"/>
    <w:rsid w:val="00CF4609"/>
    <w:rsid w:val="00D53BCB"/>
    <w:rsid w:val="00E404C1"/>
    <w:rsid w:val="00EC5D88"/>
    <w:rsid w:val="00FC65E7"/>
    <w:rsid w:val="43D5E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233F"/>
  <w15:docId w15:val="{845EC55A-EA73-4404-A3C6-EF83B06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3B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D88"/>
  </w:style>
  <w:style w:type="paragraph" w:styleId="Stopka">
    <w:name w:val="footer"/>
    <w:basedOn w:val="Normalny"/>
    <w:link w:val="StopkaZnak"/>
    <w:uiPriority w:val="99"/>
    <w:unhideWhenUsed/>
    <w:rsid w:val="00EC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3e418-f445-4e0c-81a3-9151beb3f949" xsi:nil="true"/>
    <lcf76f155ced4ddcb4097134ff3c332f xmlns="c45f7f38-d120-41fb-9da1-36ab8a1f58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DCFACD9BD2674D9D664C0DA6DF635F" ma:contentTypeVersion="11" ma:contentTypeDescription="Utwórz nowy dokument." ma:contentTypeScope="" ma:versionID="8e6f57927ac5100a32592bc6fca7f819">
  <xsd:schema xmlns:xsd="http://www.w3.org/2001/XMLSchema" xmlns:xs="http://www.w3.org/2001/XMLSchema" xmlns:p="http://schemas.microsoft.com/office/2006/metadata/properties" xmlns:ns2="c45f7f38-d120-41fb-9da1-36ab8a1f58f3" xmlns:ns3="4113e418-f445-4e0c-81a3-9151beb3f949" targetNamespace="http://schemas.microsoft.com/office/2006/metadata/properties" ma:root="true" ma:fieldsID="e3ee99121cb2c63274496b8d235b992e" ns2:_="" ns3:_="">
    <xsd:import namespace="c45f7f38-d120-41fb-9da1-36ab8a1f58f3"/>
    <xsd:import namespace="4113e418-f445-4e0c-81a3-9151beb3f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f7f38-d120-41fb-9da1-36ab8a1f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df7742a-8969-460e-8ec0-60359c8d1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e418-f445-4e0c-81a3-9151beb3f9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e72f2a-8a1b-437c-bb28-147638567d58}" ma:internalName="TaxCatchAll" ma:showField="CatchAllData" ma:web="4113e418-f445-4e0c-81a3-9151beb3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B260-6268-4245-BA3B-02F6A6C7F743}">
  <ds:schemaRefs>
    <ds:schemaRef ds:uri="http://schemas.microsoft.com/office/2006/metadata/properties"/>
    <ds:schemaRef ds:uri="http://schemas.microsoft.com/office/infopath/2007/PartnerControls"/>
    <ds:schemaRef ds:uri="4113e418-f445-4e0c-81a3-9151beb3f949"/>
    <ds:schemaRef ds:uri="c45f7f38-d120-41fb-9da1-36ab8a1f58f3"/>
  </ds:schemaRefs>
</ds:datastoreItem>
</file>

<file path=customXml/itemProps2.xml><?xml version="1.0" encoding="utf-8"?>
<ds:datastoreItem xmlns:ds="http://schemas.openxmlformats.org/officeDocument/2006/customXml" ds:itemID="{CB065E0B-9708-4640-A026-7EB2011E8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B56C-A0A8-4787-A82B-D72558F8E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f7f38-d120-41fb-9da1-36ab8a1f58f3"/>
    <ds:schemaRef ds:uri="4113e418-f445-4e0c-81a3-9151beb3f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CF6EB-40E1-4052-9DA6-066ACFFA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AWF Poznań</cp:lastModifiedBy>
  <cp:revision>8</cp:revision>
  <cp:lastPrinted>2024-02-05T13:32:00Z</cp:lastPrinted>
  <dcterms:created xsi:type="dcterms:W3CDTF">2025-08-14T09:08:00Z</dcterms:created>
  <dcterms:modified xsi:type="dcterms:W3CDTF">2026-03-11T10:48:00Z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0x010100DCDCFACD9BD2674D9D664C0DA6DF635F</vt:lpwstr>
  </property>
  <property fmtid="{D5CDD505-2E9C-101B-9397-08002B2CF9AE}" pid="3" name="MediaServiceImageTags">
    <vt:lpwstr/>
  </property>
</Properties>
</file>